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8A" w:rsidRPr="00394FE2" w:rsidRDefault="00EA288A" w:rsidP="00EA288A">
      <w:pPr>
        <w:pStyle w:val="NoSpacing"/>
        <w:jc w:val="center"/>
        <w:rPr>
          <w:rStyle w:val="SubtleReference"/>
          <w:rFonts w:ascii="Times New Roman" w:hAnsi="Times New Roman" w:cs="Times New Roman"/>
          <w:color w:val="C00000"/>
          <w:sz w:val="32"/>
          <w:szCs w:val="32"/>
        </w:rPr>
      </w:pPr>
      <w:r w:rsidRPr="00394FE2">
        <w:rPr>
          <w:rStyle w:val="SubtleReference"/>
          <w:rFonts w:ascii="Times New Roman" w:hAnsi="Times New Roman" w:cs="Times New Roman"/>
          <w:b/>
          <w:bCs/>
          <w:color w:val="C00000"/>
          <w:sz w:val="48"/>
          <w:szCs w:val="48"/>
        </w:rPr>
        <w:t>PROMOTIVNI CENOVNIK</w:t>
      </w:r>
      <w:r w:rsidRPr="00394FE2">
        <w:rPr>
          <w:rStyle w:val="SubtleReference"/>
          <w:rFonts w:ascii="Times New Roman" w:hAnsi="Times New Roman" w:cs="Times New Roman"/>
          <w:color w:val="C00000"/>
          <w:sz w:val="32"/>
          <w:szCs w:val="32"/>
        </w:rPr>
        <w:t xml:space="preserve"> </w:t>
      </w:r>
    </w:p>
    <w:p w:rsidR="00EA288A" w:rsidRPr="00394FE2" w:rsidRDefault="00EA288A" w:rsidP="00EA288A">
      <w:pPr>
        <w:jc w:val="center"/>
        <w:rPr>
          <w:color w:val="C00000"/>
          <w:sz w:val="40"/>
          <w:szCs w:val="40"/>
        </w:rPr>
      </w:pPr>
      <w:r w:rsidRPr="00394FE2">
        <w:rPr>
          <w:color w:val="C00000"/>
          <w:sz w:val="40"/>
          <w:szCs w:val="40"/>
        </w:rPr>
        <w:t>MujEn Lux Kopaonik</w:t>
      </w:r>
    </w:p>
    <w:p w:rsidR="00EA288A" w:rsidRDefault="00EA288A" w:rsidP="00EA288A">
      <w:pPr>
        <w:jc w:val="center"/>
        <w:rPr>
          <w:color w:val="C00000"/>
          <w:sz w:val="40"/>
          <w:szCs w:val="40"/>
        </w:rPr>
      </w:pPr>
      <w:r w:rsidRPr="00394FE2">
        <w:rPr>
          <w:color w:val="C00000"/>
          <w:sz w:val="40"/>
          <w:szCs w:val="40"/>
        </w:rPr>
        <w:t>02.04.2017. – 30.11.2017.</w:t>
      </w:r>
    </w:p>
    <w:tbl>
      <w:tblPr>
        <w:tblW w:w="9616" w:type="dxa"/>
        <w:tblInd w:w="93" w:type="dxa"/>
        <w:tblLook w:val="04A0" w:firstRow="1" w:lastRow="0" w:firstColumn="1" w:lastColumn="0" w:noHBand="0" w:noVBand="1"/>
      </w:tblPr>
      <w:tblGrid>
        <w:gridCol w:w="2039"/>
        <w:gridCol w:w="3975"/>
        <w:gridCol w:w="3824"/>
      </w:tblGrid>
      <w:tr w:rsidR="00EA288A" w:rsidRPr="00EA288A" w:rsidTr="00EA288A">
        <w:trPr>
          <w:trHeight w:val="476"/>
        </w:trPr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88A" w:rsidRPr="00EA288A" w:rsidRDefault="00EA288A" w:rsidP="00EA28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4323">
              <w:rPr>
                <w:rFonts w:ascii="Calibri" w:eastAsia="Times New Roman" w:hAnsi="Calibri" w:cs="Times New Roman"/>
                <w:b/>
                <w:color w:val="000000"/>
              </w:rPr>
              <w:t>STUDIO/STANDARD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EA288A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288A">
              <w:rPr>
                <w:rFonts w:ascii="Calibri" w:eastAsia="Times New Roman" w:hAnsi="Calibri" w:cs="Times New Roman"/>
                <w:b/>
                <w:color w:val="000000"/>
              </w:rPr>
              <w:t>Noćenje sa doručkom</w:t>
            </w:r>
            <w:r w:rsidR="003213FF">
              <w:rPr>
                <w:rFonts w:ascii="Calibri" w:eastAsia="Times New Roman" w:hAnsi="Calibri" w:cs="Times New Roman"/>
                <w:b/>
                <w:color w:val="000000"/>
              </w:rPr>
              <w:t>+spa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EA288A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288A">
              <w:rPr>
                <w:rFonts w:ascii="Calibri" w:eastAsia="Times New Roman" w:hAnsi="Calibri" w:cs="Times New Roman"/>
                <w:b/>
                <w:color w:val="000000"/>
              </w:rPr>
              <w:t>Polupansion</w:t>
            </w:r>
            <w:r w:rsidR="003213FF">
              <w:rPr>
                <w:rFonts w:ascii="Calibri" w:eastAsia="Times New Roman" w:hAnsi="Calibri" w:cs="Times New Roman"/>
                <w:b/>
                <w:color w:val="000000"/>
              </w:rPr>
              <w:t>+spa</w:t>
            </w:r>
          </w:p>
        </w:tc>
      </w:tr>
      <w:tr w:rsidR="00EA288A" w:rsidRPr="00EA288A" w:rsidTr="00EA288A">
        <w:trPr>
          <w:trHeight w:val="47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EA288A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64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EA288A" w:rsidRPr="00EA288A" w:rsidTr="00EA288A">
        <w:trPr>
          <w:trHeight w:val="47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4814DB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EA288A" w:rsidRPr="00EA288A" w:rsidTr="00EA288A">
        <w:trPr>
          <w:trHeight w:val="47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EA288A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EA288A" w:rsidRPr="00EA288A" w:rsidTr="00EA288A">
        <w:trPr>
          <w:trHeight w:val="47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4814DB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¼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88A" w:rsidRPr="00EA288A" w:rsidRDefault="00390EA5" w:rsidP="00EA28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  <w:r w:rsidR="00EA288A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</w:tbl>
    <w:p w:rsidR="0005264E" w:rsidRDefault="0005264E"/>
    <w:tbl>
      <w:tblPr>
        <w:tblW w:w="9806" w:type="dxa"/>
        <w:tblInd w:w="93" w:type="dxa"/>
        <w:tblLook w:val="04A0" w:firstRow="1" w:lastRow="0" w:firstColumn="1" w:lastColumn="0" w:noHBand="0" w:noVBand="1"/>
      </w:tblPr>
      <w:tblGrid>
        <w:gridCol w:w="2085"/>
        <w:gridCol w:w="3960"/>
        <w:gridCol w:w="3761"/>
      </w:tblGrid>
      <w:tr w:rsidR="00132614" w:rsidRPr="00EA288A" w:rsidTr="00132614">
        <w:trPr>
          <w:trHeight w:val="469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614" w:rsidRPr="00EA288A" w:rsidRDefault="00132614" w:rsidP="00D226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4323">
              <w:rPr>
                <w:rFonts w:ascii="Calibri" w:eastAsia="Times New Roman" w:hAnsi="Calibri" w:cs="Times New Roman"/>
                <w:b/>
                <w:color w:val="000000"/>
              </w:rPr>
              <w:t>SUPERIOR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132614" w:rsidP="00D2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288A">
              <w:rPr>
                <w:rFonts w:ascii="Calibri" w:eastAsia="Times New Roman" w:hAnsi="Calibri" w:cs="Times New Roman"/>
                <w:b/>
                <w:color w:val="000000"/>
              </w:rPr>
              <w:t>Noćenje sa doručkom</w:t>
            </w:r>
            <w:r w:rsidR="003213FF">
              <w:rPr>
                <w:rFonts w:ascii="Calibri" w:eastAsia="Times New Roman" w:hAnsi="Calibri" w:cs="Times New Roman"/>
                <w:b/>
                <w:color w:val="000000"/>
              </w:rPr>
              <w:t>+spa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132614" w:rsidP="00D2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A288A">
              <w:rPr>
                <w:rFonts w:ascii="Calibri" w:eastAsia="Times New Roman" w:hAnsi="Calibri" w:cs="Times New Roman"/>
                <w:b/>
                <w:color w:val="000000"/>
              </w:rPr>
              <w:t>Polupansion</w:t>
            </w:r>
            <w:r w:rsidR="003213FF">
              <w:rPr>
                <w:rFonts w:ascii="Calibri" w:eastAsia="Times New Roman" w:hAnsi="Calibri" w:cs="Times New Roman"/>
                <w:b/>
                <w:color w:val="000000"/>
              </w:rPr>
              <w:t>+spa</w:t>
            </w:r>
          </w:p>
        </w:tc>
      </w:tr>
      <w:tr w:rsidR="00132614" w:rsidRPr="00EA288A" w:rsidTr="00132614">
        <w:trPr>
          <w:trHeight w:val="46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132614" w:rsidP="00D2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96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132614" w:rsidRPr="00EA288A" w:rsidTr="00132614">
        <w:trPr>
          <w:trHeight w:val="46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4814DB" w:rsidP="00D2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½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54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63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132614" w:rsidRPr="00EA288A" w:rsidTr="00132614">
        <w:trPr>
          <w:trHeight w:val="46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132614" w:rsidP="00D2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  <w:tr w:rsidR="00132614" w:rsidRPr="00EA288A" w:rsidTr="00132614">
        <w:trPr>
          <w:trHeight w:val="469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4814DB" w:rsidP="00D22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614" w:rsidRPr="00EA288A" w:rsidRDefault="00390EA5" w:rsidP="00125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  <w:r w:rsidR="00132614" w:rsidRPr="00EA288A">
              <w:rPr>
                <w:rFonts w:ascii="Calibri" w:eastAsia="Times New Roman" w:hAnsi="Calibri" w:cs="Times New Roman"/>
                <w:color w:val="000000"/>
              </w:rPr>
              <w:t xml:space="preserve"> €</w:t>
            </w:r>
          </w:p>
        </w:tc>
      </w:tr>
    </w:tbl>
    <w:p w:rsidR="00132614" w:rsidRDefault="00132614"/>
    <w:p w:rsidR="00EA288A" w:rsidRPr="00F84323" w:rsidRDefault="00EA288A" w:rsidP="00EA288A">
      <w:pPr>
        <w:pStyle w:val="ListParagraph"/>
        <w:numPr>
          <w:ilvl w:val="0"/>
          <w:numId w:val="1"/>
        </w:numPr>
        <w:rPr>
          <w:b/>
          <w:lang w:val="sr-Latn-CS"/>
        </w:rPr>
      </w:pPr>
      <w:r w:rsidRPr="00EA288A">
        <w:rPr>
          <w:b/>
        </w:rPr>
        <w:t>Navedene cene predstavljaju uslugu noćenje sa doručkom / polupansionom po osobi po danu. U cenu  je uključena dnevna karta za korišćenje kompletnog spa centra u terminu od 12-22h.</w:t>
      </w:r>
    </w:p>
    <w:p w:rsidR="00F84323" w:rsidRPr="00F84323" w:rsidRDefault="00F84323" w:rsidP="00F84323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  <w:r w:rsidRPr="00F84323">
        <w:rPr>
          <w:rFonts w:ascii="Cambria" w:eastAsia="Times New Roman" w:hAnsi="Cambria" w:cs="Tahoma"/>
          <w:b/>
          <w:bCs/>
          <w:sz w:val="21"/>
          <w:szCs w:val="21"/>
          <w:lang w:val="es-US"/>
        </w:rPr>
        <w:t xml:space="preserve">Završno </w:t>
      </w:r>
      <w:r w:rsidRPr="00F84323">
        <w:rPr>
          <w:rFonts w:ascii="Cambria" w:eastAsia="Times New Roman" w:hAnsi="Cambria" w:cs="Tahoma"/>
          <w:b/>
          <w:bCs/>
          <w:sz w:val="21"/>
          <w:szCs w:val="21"/>
        </w:rPr>
        <w:t>čišćenje, struju, vodu, grejanje, posteljinu, peškire.</w:t>
      </w:r>
    </w:p>
    <w:p w:rsidR="00F84323" w:rsidRPr="00F84323" w:rsidRDefault="00F84323" w:rsidP="00F84323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  <w:r w:rsidRPr="00F84323">
        <w:rPr>
          <w:rFonts w:ascii="Cambria" w:eastAsia="Times New Roman" w:hAnsi="Cambria" w:cs="Tahoma"/>
          <w:b/>
          <w:bCs/>
          <w:sz w:val="21"/>
          <w:szCs w:val="21"/>
        </w:rPr>
        <w:t>Krevetac za bebe na zahtev gosta.</w:t>
      </w:r>
    </w:p>
    <w:p w:rsidR="00F84323" w:rsidRDefault="00F84323" w:rsidP="00F84323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  <w:r w:rsidRPr="00F84323">
        <w:rPr>
          <w:rFonts w:ascii="Cambria" w:eastAsia="Times New Roman" w:hAnsi="Cambria" w:cs="Tahoma"/>
          <w:b/>
          <w:bCs/>
          <w:sz w:val="21"/>
          <w:szCs w:val="21"/>
        </w:rPr>
        <w:t>Prevoz do centra i nazad tri puta dnevno.</w:t>
      </w:r>
    </w:p>
    <w:p w:rsidR="00F84323" w:rsidRDefault="00F84323" w:rsidP="00F84323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  <w:r>
        <w:rPr>
          <w:rFonts w:ascii="Cambria" w:eastAsia="Times New Roman" w:hAnsi="Cambria" w:cs="Tahoma"/>
          <w:b/>
          <w:bCs/>
          <w:sz w:val="21"/>
          <w:szCs w:val="21"/>
        </w:rPr>
        <w:t>Besplatna WiFi konekcija</w:t>
      </w:r>
    </w:p>
    <w:p w:rsidR="00F84323" w:rsidRPr="00F84323" w:rsidRDefault="00F84323" w:rsidP="00F84323">
      <w:pPr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sz w:val="21"/>
          <w:szCs w:val="21"/>
        </w:rPr>
      </w:pPr>
      <w:r>
        <w:rPr>
          <w:rFonts w:ascii="Cambria" w:eastAsia="Times New Roman" w:hAnsi="Cambria" w:cs="Tahoma"/>
          <w:b/>
          <w:bCs/>
          <w:sz w:val="21"/>
          <w:szCs w:val="21"/>
        </w:rPr>
        <w:t>LCD sa kablovskom TV</w:t>
      </w:r>
    </w:p>
    <w:p w:rsidR="00F84323" w:rsidRPr="00F84323" w:rsidRDefault="00F84323" w:rsidP="00F84323">
      <w:pPr>
        <w:pStyle w:val="ListParagraph"/>
        <w:rPr>
          <w:b/>
          <w:lang w:val="sr-Latn-CS"/>
        </w:rPr>
      </w:pPr>
    </w:p>
    <w:p w:rsidR="00F84323" w:rsidRPr="002C1D8B" w:rsidRDefault="00F84323" w:rsidP="00F84323">
      <w:pPr>
        <w:shd w:val="clear" w:color="auto" w:fill="FFFFFF"/>
        <w:spacing w:before="210" w:after="105" w:line="240" w:lineRule="auto"/>
        <w:outlineLvl w:val="1"/>
        <w:rPr>
          <w:rFonts w:ascii="Cambria" w:eastAsia="Times New Roman" w:hAnsi="Cambria" w:cs="Tahoma"/>
          <w:b/>
          <w:bCs/>
          <w:color w:val="000000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 xml:space="preserve">       </w:t>
      </w:r>
      <w:r w:rsidRPr="002C1D8B">
        <w:rPr>
          <w:rFonts w:ascii="Cambria" w:eastAsia="Times New Roman" w:hAnsi="Cambria" w:cs="Tahoma"/>
          <w:b/>
          <w:bCs/>
          <w:color w:val="000000"/>
          <w:sz w:val="21"/>
          <w:szCs w:val="21"/>
        </w:rPr>
        <w:t>Cena ne uključuje (obavezno plaćanje na licu mesta):</w:t>
      </w:r>
    </w:p>
    <w:p w:rsidR="00F84323" w:rsidRPr="00F84323" w:rsidRDefault="00F84323" w:rsidP="00F84323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F84323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Boravišnu taksu u iznosu 100 RSD  po osobi, po danu za odrasle i 50 RSD  po osobi, po  danu, za decu od 7 – 15 god. Deca do 7 god. ne plaćaju boravišnu taksu.</w:t>
      </w:r>
    </w:p>
    <w:p w:rsidR="00F84323" w:rsidRDefault="00F84323" w:rsidP="00F84323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F84323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Osiguranje u iznosu od 30 RSD po osobi, po danu.</w:t>
      </w:r>
    </w:p>
    <w:p w:rsidR="00F84323" w:rsidRDefault="00F84323" w:rsidP="00F84323">
      <w:pPr>
        <w:pStyle w:val="ListParagraph"/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</w:p>
    <w:p w:rsidR="00132614" w:rsidRDefault="00132614" w:rsidP="00F84323">
      <w:pPr>
        <w:pStyle w:val="ListParagraph"/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</w:p>
    <w:p w:rsidR="00F84323" w:rsidRPr="00685EA3" w:rsidRDefault="00F84323" w:rsidP="00F84323">
      <w:pPr>
        <w:shd w:val="clear" w:color="auto" w:fill="FFFFFF"/>
        <w:spacing w:after="105" w:line="240" w:lineRule="auto"/>
        <w:ind w:left="90"/>
        <w:rPr>
          <w:rFonts w:ascii="Cambria" w:eastAsia="Times New Roman" w:hAnsi="Cambria" w:cs="Tahoma"/>
          <w:b/>
          <w:bCs/>
          <w:sz w:val="21"/>
          <w:szCs w:val="21"/>
        </w:rPr>
      </w:pPr>
      <w:r w:rsidRPr="00685EA3">
        <w:rPr>
          <w:rFonts w:ascii="Cambria" w:eastAsia="Times New Roman" w:hAnsi="Cambria" w:cs="Tahoma"/>
          <w:b/>
          <w:bCs/>
          <w:sz w:val="21"/>
          <w:szCs w:val="21"/>
        </w:rPr>
        <w:lastRenderedPageBreak/>
        <w:t>Uslovi MujEn Lux Apartmana ****</w:t>
      </w:r>
    </w:p>
    <w:p w:rsidR="00F84323" w:rsidRPr="00132614" w:rsidRDefault="00F84323" w:rsidP="00F8432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Ulazak u sobe (Check In) je od 14 h, izlazak iz sove (Check Out</w:t>
      </w: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  <w:lang w:val="sr-Latn-CS"/>
        </w:rPr>
        <w:t>) je do 10 h.</w:t>
      </w:r>
    </w:p>
    <w:p w:rsidR="00F84323" w:rsidRPr="00132614" w:rsidRDefault="00F84323" w:rsidP="00F8432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  <w:lang w:val="sr-Latn-CS"/>
        </w:rPr>
        <w:t>Dete 0-2 u pratnji dvoje odraslih – BESPLATNO u ½ sobi</w:t>
      </w:r>
    </w:p>
    <w:p w:rsidR="00F84323" w:rsidRPr="00132614" w:rsidRDefault="00132614" w:rsidP="00F8432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Deca uzrasta od 2-12 godina u pratnji dve odrasle osobe – 50% popusta</w:t>
      </w:r>
    </w:p>
    <w:p w:rsidR="00F84323" w:rsidRPr="00132614" w:rsidRDefault="00F84323" w:rsidP="00F84323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Deca preko 12 godina plaćaju punu cenu aranžmana</w:t>
      </w:r>
    </w:p>
    <w:p w:rsidR="00F84323" w:rsidRPr="00132614" w:rsidRDefault="00F84323" w:rsidP="00F84323">
      <w:pPr>
        <w:shd w:val="clear" w:color="auto" w:fill="FFFFFF"/>
        <w:spacing w:after="105" w:line="240" w:lineRule="auto"/>
        <w:ind w:left="90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</w:p>
    <w:p w:rsidR="00F84323" w:rsidRPr="00132614" w:rsidRDefault="00F84323" w:rsidP="00F84323">
      <w:pPr>
        <w:shd w:val="clear" w:color="auto" w:fill="FFFFFF"/>
        <w:spacing w:after="105" w:line="240" w:lineRule="auto"/>
        <w:ind w:left="90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Plaćanje:</w:t>
      </w:r>
    </w:p>
    <w:p w:rsidR="00F84323" w:rsidRPr="00126317" w:rsidRDefault="00126317" w:rsidP="00126317">
      <w:pPr>
        <w:pStyle w:val="ListParagraph"/>
        <w:numPr>
          <w:ilvl w:val="0"/>
          <w:numId w:val="2"/>
        </w:num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Od 3 do 12 mesečnih rata putem administrativne zabrane.</w:t>
      </w:r>
    </w:p>
    <w:p w:rsidR="00126317" w:rsidRDefault="00126317" w:rsidP="00F84323">
      <w:pPr>
        <w:shd w:val="clear" w:color="auto" w:fill="FFFFFF"/>
        <w:spacing w:after="105" w:line="240" w:lineRule="auto"/>
        <w:rPr>
          <w:b/>
          <w:bCs/>
          <w:color w:val="000000" w:themeColor="text1"/>
          <w:shd w:val="clear" w:color="auto" w:fill="FFFFFF"/>
        </w:rPr>
      </w:pPr>
    </w:p>
    <w:p w:rsidR="00F84323" w:rsidRPr="00132614" w:rsidRDefault="00F84323" w:rsidP="00F84323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bookmarkStart w:id="0" w:name="_GoBack"/>
      <w:bookmarkEnd w:id="0"/>
      <w:r w:rsidRPr="00132614">
        <w:rPr>
          <w:b/>
          <w:bCs/>
          <w:color w:val="000000" w:themeColor="text1"/>
          <w:shd w:val="clear" w:color="auto" w:fill="FFFFFF"/>
        </w:rPr>
        <w:t>OTKAZ UGOVORA OD STRANE PUTNIKA: </w:t>
      </w:r>
      <w:r w:rsidRPr="00132614">
        <w:rPr>
          <w:color w:val="000000" w:themeColor="text1"/>
          <w:shd w:val="clear" w:color="auto" w:fill="FFFFFF"/>
        </w:rPr>
        <w:br/>
      </w:r>
      <w:r w:rsidRPr="00132614">
        <w:rPr>
          <w:color w:val="000000" w:themeColor="text1"/>
          <w:u w:val="single"/>
          <w:shd w:val="clear" w:color="auto" w:fill="FFFFFF"/>
        </w:rPr>
        <w:t>Pre početka putovanja</w:t>
      </w:r>
      <w:r w:rsidRPr="00132614">
        <w:rPr>
          <w:b/>
          <w:bCs/>
          <w:color w:val="000000" w:themeColor="text1"/>
          <w:shd w:val="clear" w:color="auto" w:fill="FFFFFF"/>
        </w:rPr>
        <w:t>: </w:t>
      </w:r>
      <w:r w:rsidRPr="00132614">
        <w:rPr>
          <w:color w:val="000000" w:themeColor="text1"/>
          <w:shd w:val="clear" w:color="auto" w:fill="FFFFFF"/>
        </w:rPr>
        <w:t>Putnik ima pravo da odustane od putovanja, o čemu je dužan pismeno izvestiti Organizatora na način kako je zaključen Ugovor. Datum pismenog otkaza Ugovora predstavlja osnov za obračun naknade koja pripada Organizatoru, izražene procentualno po skali otkaza u odnosu na ukupnu cenu putovanja, ako Programom nije drugačije određeno i to: </w:t>
      </w:r>
      <w:r w:rsidRPr="00132614">
        <w:rPr>
          <w:color w:val="000000" w:themeColor="text1"/>
          <w:shd w:val="clear" w:color="auto" w:fill="FFFFFF"/>
        </w:rPr>
        <w:br/>
        <w:t>5% ako se putovanje otkaže do 45 dana pre početka putovanja, </w:t>
      </w:r>
      <w:r w:rsidRPr="00132614">
        <w:rPr>
          <w:color w:val="000000" w:themeColor="text1"/>
          <w:shd w:val="clear" w:color="auto" w:fill="FFFFFF"/>
        </w:rPr>
        <w:br/>
        <w:t>10 % ako se putovanje otkaže od 44 do 30 dana pre početka putovanja, </w:t>
      </w:r>
      <w:r w:rsidRPr="00132614">
        <w:rPr>
          <w:color w:val="000000" w:themeColor="text1"/>
          <w:shd w:val="clear" w:color="auto" w:fill="FFFFFF"/>
        </w:rPr>
        <w:br/>
        <w:t>20 % ako se otkaže 29 do 20 dana pre početka putovanja, </w:t>
      </w:r>
      <w:r w:rsidRPr="00132614">
        <w:rPr>
          <w:color w:val="000000" w:themeColor="text1"/>
          <w:shd w:val="clear" w:color="auto" w:fill="FFFFFF"/>
        </w:rPr>
        <w:br/>
        <w:t>40 % ako se otkaže 19 do 15 dana pre početka putovanja, </w:t>
      </w:r>
      <w:r w:rsidRPr="00132614">
        <w:rPr>
          <w:color w:val="000000" w:themeColor="text1"/>
          <w:shd w:val="clear" w:color="auto" w:fill="FFFFFF"/>
        </w:rPr>
        <w:br/>
        <w:t>80 % ako se otkaže 14 do 10 dana pre početka putovanja, </w:t>
      </w:r>
      <w:r w:rsidRPr="00132614">
        <w:rPr>
          <w:color w:val="000000" w:themeColor="text1"/>
          <w:shd w:val="clear" w:color="auto" w:fill="FFFFFF"/>
        </w:rPr>
        <w:br/>
        <w:t>90 % ako se otkaže 9 do 6 dana pre početka putovanja, </w:t>
      </w:r>
      <w:r w:rsidRPr="00132614">
        <w:rPr>
          <w:color w:val="000000" w:themeColor="text1"/>
          <w:shd w:val="clear" w:color="auto" w:fill="FFFFFF"/>
        </w:rPr>
        <w:br/>
        <w:t>100 % ako se otkaže 5 do 0 dana pre početka putovanja ili u toku putovanja. </w:t>
      </w:r>
    </w:p>
    <w:p w:rsidR="00F84323" w:rsidRPr="00132614" w:rsidRDefault="00F84323" w:rsidP="00F84323">
      <w:pPr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  <w:r w:rsidRPr="00132614"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  <w:t>-Nakon izvršene rezervacije, promene termina se mogu vršiti samo uz saglasnost hotelijera.</w:t>
      </w:r>
    </w:p>
    <w:p w:rsidR="00F84323" w:rsidRPr="00132614" w:rsidRDefault="00F84323" w:rsidP="00F84323">
      <w:pPr>
        <w:pStyle w:val="ListParagraph"/>
        <w:shd w:val="clear" w:color="auto" w:fill="FFFFFF"/>
        <w:spacing w:after="105" w:line="240" w:lineRule="auto"/>
        <w:rPr>
          <w:rFonts w:ascii="Cambria" w:eastAsia="Times New Roman" w:hAnsi="Cambria" w:cs="Tahoma"/>
          <w:b/>
          <w:bCs/>
          <w:color w:val="000000" w:themeColor="text1"/>
          <w:sz w:val="21"/>
          <w:szCs w:val="21"/>
        </w:rPr>
      </w:pPr>
    </w:p>
    <w:p w:rsidR="004707BC" w:rsidRDefault="004707BC" w:rsidP="004707BC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Informacije i rezervacije: </w:t>
      </w:r>
    </w:p>
    <w:p w:rsidR="004707BC" w:rsidRDefault="004707BC" w:rsidP="004707BC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Ivana Marković</w:t>
      </w:r>
    </w:p>
    <w:p w:rsidR="004707BC" w:rsidRDefault="004707BC" w:rsidP="004707BC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Tel: +381 66 266 255</w:t>
      </w:r>
    </w:p>
    <w:p w:rsidR="00F84323" w:rsidRPr="004707BC" w:rsidRDefault="004707BC" w:rsidP="004707BC">
      <w:pPr>
        <w:pStyle w:val="NoSpacing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Mail: ivana.mujentravel@gmail.com</w:t>
      </w:r>
    </w:p>
    <w:p w:rsidR="00F84323" w:rsidRPr="00132614" w:rsidRDefault="00F84323" w:rsidP="00EA288A">
      <w:pPr>
        <w:rPr>
          <w:b/>
          <w:color w:val="000000" w:themeColor="text1"/>
          <w:lang w:val="sr-Latn-CS"/>
        </w:rPr>
      </w:pPr>
    </w:p>
    <w:p w:rsidR="00F84323" w:rsidRDefault="00F84323" w:rsidP="00EA288A">
      <w:pPr>
        <w:rPr>
          <w:b/>
          <w:lang w:val="sr-Latn-CS"/>
        </w:rPr>
      </w:pPr>
    </w:p>
    <w:p w:rsidR="00F84323" w:rsidRDefault="00F84323" w:rsidP="00EA288A">
      <w:pPr>
        <w:rPr>
          <w:b/>
          <w:lang w:val="sr-Latn-CS"/>
        </w:rPr>
      </w:pPr>
    </w:p>
    <w:p w:rsidR="00F84323" w:rsidRDefault="00F84323" w:rsidP="00EA288A">
      <w:pPr>
        <w:rPr>
          <w:b/>
          <w:lang w:val="sr-Latn-CS"/>
        </w:rPr>
      </w:pPr>
    </w:p>
    <w:p w:rsidR="00F84323" w:rsidRDefault="00F84323" w:rsidP="00EA288A">
      <w:pPr>
        <w:rPr>
          <w:b/>
          <w:lang w:val="sr-Latn-CS"/>
        </w:rPr>
      </w:pPr>
    </w:p>
    <w:p w:rsidR="00F84323" w:rsidRDefault="00F84323" w:rsidP="00EA288A">
      <w:pPr>
        <w:rPr>
          <w:b/>
          <w:lang w:val="sr-Latn-CS"/>
        </w:rPr>
      </w:pPr>
    </w:p>
    <w:p w:rsidR="00F84323" w:rsidRDefault="00F84323" w:rsidP="00EA288A">
      <w:pPr>
        <w:rPr>
          <w:b/>
          <w:lang w:val="sr-Latn-CS"/>
        </w:rPr>
      </w:pPr>
    </w:p>
    <w:p w:rsidR="00EA288A" w:rsidRDefault="00EA288A" w:rsidP="00EA288A">
      <w:pPr>
        <w:rPr>
          <w:b/>
          <w:lang w:val="sr-Latn-CS"/>
        </w:rPr>
      </w:pPr>
    </w:p>
    <w:p w:rsidR="00F84323" w:rsidRPr="00EA288A" w:rsidRDefault="00F84323" w:rsidP="00EA288A">
      <w:pPr>
        <w:rPr>
          <w:b/>
          <w:lang w:val="sr-Latn-CS"/>
        </w:rPr>
      </w:pPr>
    </w:p>
    <w:sectPr w:rsidR="00F84323" w:rsidRPr="00EA288A" w:rsidSect="0005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A35"/>
    <w:multiLevelType w:val="multilevel"/>
    <w:tmpl w:val="DD7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C45DE3"/>
    <w:multiLevelType w:val="hybridMultilevel"/>
    <w:tmpl w:val="461CF6A6"/>
    <w:lvl w:ilvl="0" w:tplc="15C0E4F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75750"/>
    <w:multiLevelType w:val="multilevel"/>
    <w:tmpl w:val="D12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A288A"/>
    <w:rsid w:val="0005264E"/>
    <w:rsid w:val="00066BB5"/>
    <w:rsid w:val="00125F55"/>
    <w:rsid w:val="00126317"/>
    <w:rsid w:val="00132614"/>
    <w:rsid w:val="003213FF"/>
    <w:rsid w:val="00390EA5"/>
    <w:rsid w:val="004707BC"/>
    <w:rsid w:val="004814DB"/>
    <w:rsid w:val="007B211D"/>
    <w:rsid w:val="00EA288A"/>
    <w:rsid w:val="00F8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88A"/>
    <w:pPr>
      <w:spacing w:after="0" w:line="240" w:lineRule="auto"/>
    </w:pPr>
    <w:rPr>
      <w:rFonts w:ascii="Calibri" w:eastAsia="Calibri" w:hAnsi="Calibri" w:cs="Arial"/>
    </w:rPr>
  </w:style>
  <w:style w:type="character" w:styleId="SubtleReference">
    <w:name w:val="Subtle Reference"/>
    <w:uiPriority w:val="31"/>
    <w:qFormat/>
    <w:rsid w:val="00EA288A"/>
    <w:rPr>
      <w:smallCaps/>
      <w:color w:val="CF543F"/>
      <w:u w:val="single"/>
    </w:rPr>
  </w:style>
  <w:style w:type="paragraph" w:styleId="ListParagraph">
    <w:name w:val="List Paragraph"/>
    <w:basedOn w:val="Normal"/>
    <w:uiPriority w:val="34"/>
    <w:qFormat/>
    <w:rsid w:val="00EA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MujEn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MujEn</dc:creator>
  <cp:keywords/>
  <dc:description/>
  <cp:lastModifiedBy>S</cp:lastModifiedBy>
  <cp:revision>9</cp:revision>
  <cp:lastPrinted>2017-02-14T15:34:00Z</cp:lastPrinted>
  <dcterms:created xsi:type="dcterms:W3CDTF">2017-02-14T15:09:00Z</dcterms:created>
  <dcterms:modified xsi:type="dcterms:W3CDTF">2017-03-01T09:32:00Z</dcterms:modified>
</cp:coreProperties>
</file>